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(Ley12/2014, de 26 de diciembre) en su apartado 4 Información en materia de empleo,concretamente en el subapartado “1044 Número de liberados/as sindicales, número de horas sindicales utilizadas por sindicato y, en su caso, sindicato al que pertenecen los liberados/as ycoste de las liberaciones”, desde el Patronato de las Escuelas Artísticas Villa de Moya, se pone en conocimiento de la ciudadanía y del público en general, que durante los ejercicios</w:t>
      </w:r>
      <w:r>
        <w:rPr>
          <w:b w:val="1"/>
          <w:bCs w:val="1"/>
        </w:rPr>
        <w:t xml:space="preserve"> 2022, 2023, 2024 y 2025 </w:t>
      </w:r>
      <w:r>
        <w:rPr>
          <w:b w:val="1"/>
          <w:bCs w:val="1"/>
        </w:rPr>
        <w:t xml:space="preserve">no han existido liberados sindicales.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2026-09-05T03:50:58+00:00</dcterms:created>
  <dcterms:modified xsi:type="dcterms:W3CDTF">2026-09-05T03:50:58+00:00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