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(Ley12/2014, de 26 de diciembre) en su apartado 4 Información en materia de empleo,concretamente en el subapartado “1044 Número de liberados/as sindicales, número de horas sindicales utilizadas por sindicato y, en su caso, sindicato al que pertenecen los liberados/as ycoste de las liberaciones”, desde el Patronato de las Escuelas Artísticas Villa de Moya, se pone en conocimiento de la ciudadanía y del público en general, que durante los ejercicios</w:t>
      </w:r>
      <w:r>
        <w:rPr>
          <w:b w:val="1"/>
          <w:bCs w:val="1"/>
        </w:rPr>
        <w:t xml:space="preserve"> 2022, 2023, 2024 y 2025 </w:t>
      </w:r>
      <w:r>
        <w:rPr>
          <w:b w:val="1"/>
          <w:bCs w:val="1"/>
        </w:rPr>
        <w:t xml:space="preserve">no han existido liberados sindicales.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2026-10-20T16:00:26+00:00</dcterms:created>
  <dcterms:modified xsi:type="dcterms:W3CDTF">2026-10-20T16:00:26+00:00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