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 </w:t>
      </w:r>
      <w:r>
        <w:rPr>
          <w:b w:val="1"/>
          <w:bCs w:val="1"/>
        </w:rPr>
        <w:t xml:space="preserve">“ ”,</w:t>
      </w:r>
      <w:r>
        <w:rPr/>
        <w:t xml:space="preserve"> desde las Escuelas Artísticas "Villa de Moya", se pone en conocimiento de la ciudadanía y del público en general, que durante </w:t>
      </w:r>
      <w:r>
        <w:rPr>
          <w:b w:val="1"/>
          <w:bCs w:val="1"/>
        </w:rPr>
        <w:t xml:space="preserve">los ejercicios 2020, 2022, 2023, 2024 y 2025 no existió actividad en este apartado</w:t>
      </w:r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2026-10-20T16:01:38+00:00</dcterms:created>
  <dcterms:modified xsi:type="dcterms:W3CDTF">2026-10-20T16:01:38+00:00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