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Existe a disposición de las personas usuarias una hoja de reclamaciones en la Escuela, que podrá solicitarse de manera presencial.</w:t>
      </w:r>
    </w:p>
    <w:p>
      <w:pPr/>
      <w:r>
        <w:rPr/>
        <w:t xml:space="preserve">Asimismo, si prefiere realizar el trámite de forma telemática, podrá hacerlo a través de la sede electrónica del Ayuntamiento, disponible .</w:t>
      </w:r>
    </w:p>
    <w:p>
      <w:pPr/>
      <w:r>
        <w:rPr/>
        <w:t xml:space="preserve"> </w:t>
      </w:r>
    </w:p>
    <w:p>
      <w:pPr/>
      <w:r>
        <w:rPr/>
        <w:t xml:space="preserve">Estadísticas de quejas y sugerencias: No se han producido quejas ni reclamaciones, por lo que no existen estadísticas correspondientes a los años </w:t>
      </w:r>
      <w:r>
        <w:rPr>
          <w:b w:val="1"/>
          <w:bCs w:val="1"/>
        </w:rPr>
        <w:t xml:space="preserve">2020, 2022,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2026-07-11T03:32:59+00:00</dcterms:created>
  <dcterms:modified xsi:type="dcterms:W3CDTF">2026-07-11T03:32:59+00:00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