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 </w:t>
      </w:r>
      <w:r>
        <w:rPr>
          <w:b w:val="1"/>
          <w:bCs w:val="1"/>
        </w:rPr>
        <w:t xml:space="preserve">“1106. Gasto efectuado en concepto de arrendamiento de bienes inmuebles”,</w:t>
      </w:r>
      <w:r>
        <w:rPr/>
        <w:t xml:space="preserve"> desde la Escuelas Artísticas "Villa de Moya", se pone en conocimiento de la ciudadanía y del público en general, que durante </w:t>
      </w:r>
      <w:r>
        <w:rPr>
          <w:b w:val="1"/>
          <w:bCs w:val="1"/>
        </w:rPr>
        <w:t xml:space="preserve">los ejercicios 2020, 2022, 2023, 2024 y 2025 no existió actividad en este apartado.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2026-09-05T03:53:05+00:00</dcterms:created>
  <dcterms:modified xsi:type="dcterms:W3CDTF">2026-09-05T03:53:05+00:00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