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18. Derecho de acceso a la información pública concretamente en el subapartado “1201 Información estadística sobre las resoluciones de las solicitudes de derecho de acceso a la información pública”, desde las Escuelas Artísticas "Villa de Moya", se pone en conocimiento de la ciudadanía y del público en general, que </w:t>
      </w:r>
      <w:r>
        <w:rPr>
          <w:b w:val="1"/>
          <w:bCs w:val="1"/>
        </w:rPr>
        <w:t xml:space="preserve">no existió actividad en este apartado durante los años 2020 y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2026-10-20T16:00:26+00:00</dcterms:created>
  <dcterms:modified xsi:type="dcterms:W3CDTF">2026-10-20T16:00:26+00:00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