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18. Derecho de Acceso, concretamente en el subapartado “1199 Resoluciones denegatorias”, las Escuelas Artísticas "Villa de Moya", ponen en conocimiento de la ciudadanía del municipio y del público en general, que no recibió ninguna demanda de información pública que fuera expresamente desestimada o inadmitida durante los ejercicios </w:t>
      </w:r>
      <w:r>
        <w:rPr>
          <w:b w:val="1"/>
          <w:bCs w:val="1"/>
        </w:rPr>
        <w:t xml:space="preserve">2023, 2024 y 2025</w:t>
      </w:r>
      <w:r>
        <w:rPr/>
        <w:t xml:space="preserve">, por ello, en este apartado las Escuelas no tienen actividad.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2026-10-20T16:00:46+00:00</dcterms:created>
  <dcterms:modified xsi:type="dcterms:W3CDTF">2026-10-20T16:00:46+00:00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