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18. Derecho de Acceso, concretamente en el subapartado “1201 Información estadística sobre las resoluciones de las solicitudes de derecho de acceso a la información pública”, las Escuelas Artísticas "Villa de Moya", ponen en conocimiento de la ciudadanía del municipio y del público en general, que no recibió ninguna demanda de información pública durante los ejercicios </w:t>
      </w:r>
      <w:r>
        <w:rPr>
          <w:b w:val="1"/>
          <w:bCs w:val="1"/>
        </w:rPr>
        <w:t xml:space="preserve">2023, 2024 y 2025</w:t>
      </w:r>
      <w:r>
        <w:rPr/>
        <w:t xml:space="preserve">, por ello, en este apartado las Escuelas no tienen actividad.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2026-05-26T15:07:21+00:00</dcterms:created>
  <dcterms:modified xsi:type="dcterms:W3CDTF">2026-05-26T15:07:21+00:00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