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cumplimiento de</w:t>
      </w:r>
      <w:r>
        <w:rPr>
          <w:b w:val="1"/>
          <w:bCs w:val="1"/>
        </w:rPr>
        <w:t xml:space="preserve"> Ley Canaria de Transparencia</w:t>
      </w:r>
      <w:r>
        <w:rPr/>
        <w:t xml:space="preserve">, se informa a la ciudadanía de que en las </w:t>
      </w:r>
      <w:r>
        <w:rPr>
          <w:b w:val="1"/>
          <w:bCs w:val="1"/>
        </w:rPr>
        <w:t xml:space="preserve">Escuelas Artísticas “Villa de Moya”</w:t>
      </w:r>
      <w:r>
        <w:rPr/>
        <w:t xml:space="preserve"> </w:t>
      </w:r>
      <w:r>
        <w:rPr>
          <w:b w:val="1"/>
          <w:bCs w:val="1"/>
        </w:rPr>
        <w:t xml:space="preserve">no ha habido decisiones de desistimiento ni de renuncia de contratos</w:t>
      </w:r>
      <w:r>
        <w:rPr/>
        <w:t xml:space="preserve"> durante los ejercicios </w:t>
      </w:r>
      <w:r>
        <w:rPr>
          <w:b w:val="1"/>
          <w:bCs w:val="1"/>
        </w:rPr>
        <w:t xml:space="preserve">2023, 2024 y 2025</w:t>
      </w:r>
      <w:r>
        <w:rPr/>
        <w:t xml:space="preserve">.</w:t>
      </w:r>
    </w:p>
    <w:p>
      <w:pPr/>
      <w:r>
        <w:rPr/>
        <w:t xml:space="preserve">   </w:t>
      </w:r>
    </w:p>
    <w:p>
      <w:pPr/>
      <w:r>
        <w:rPr/>
        <w:t xml:space="preserve">  </w:t>
      </w:r>
    </w:p>
    <w:p>
      <w:pPr/>
      <w:r>
        <w:rPr/>
        <w:t xml:space="preserve"> </w:t>
      </w:r>
    </w:p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2026-07-11T03:32:59+00:00</dcterms:created>
  <dcterms:modified xsi:type="dcterms:W3CDTF">2026-07-11T03:32:59+00:00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