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Información general de las retribuciones del personal funcionario, estatutario y laboral 2023, 2024 y 2025</w:t>
      </w:r>
    </w:p>
    <w:tbl>
      <w:tblGrid>
        <w:gridCol w:w="253600" w:type="dxa"/>
        <w:gridCol w:w="2486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53600" w:type="pct"/>
            <w:gridSpan w:val="2"/>
          </w:tcPr>
          <w:p>
            <w:pPr/>
            <w:r>
              <w:rPr/>
              <w:t xml:space="preserve">Categoría</w:t>
            </w:r>
          </w:p>
        </w:tc>
        <w:tc>
          <w:tcPr>
            <w:tcW w:w="248600" w:type="pct"/>
          </w:tcPr>
          <w:p>
            <w:pPr/>
            <w:r>
              <w:rPr/>
              <w:t xml:space="preserve">Nº de empleados por departamento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Director de Escuela</w:t>
            </w:r>
          </w:p>
        </w:tc>
        <w:tc>
          <w:tcPr>
            <w:tcW w:w="2486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53600" w:type="pct"/>
            <w:gridSpan w:val="2"/>
          </w:tcPr>
          <w:p>
            <w:pPr/>
            <w:r>
              <w:rPr/>
              <w:t xml:space="preserve">Profesor Musical</w:t>
            </w:r>
          </w:p>
        </w:tc>
        <w:tc>
          <w:tcPr>
            <w:tcW w:w="248600" w:type="pct"/>
          </w:tcPr>
          <w:p>
            <w:pPr/>
            <w:r>
              <w:rPr/>
              <w:t xml:space="preserve">15</w:t>
            </w:r>
          </w:p>
        </w:tc>
      </w:tr>
    </w:tbl>
    <w:p>
      <w:pPr/>
      <w:r>
        <w:rPr/>
        <w:t xml:space="preserve"> </w:t>
      </w:r>
    </w:p>
    <w:tbl>
      <w:tblGrid>
        <w:gridCol w:w="3401900" w:type="dxa"/>
        <w:gridCol w:w="324100" w:type="dxa"/>
        <w:gridCol w:w="194050" w:type="dxa"/>
        <w:gridCol w:w="291850" w:type="dxa"/>
        <w:gridCol w:w="32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019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4100" w:type="pct"/>
          </w:tcPr>
          <w:p>
            <w:pPr/>
            <w:r>
              <w:rPr/>
              <w:t xml:space="preserve">Nombre del trabajador</w:t>
            </w:r>
          </w:p>
        </w:tc>
        <w:tc>
          <w:tcPr>
            <w:tcW w:w="194050" w:type="pct"/>
          </w:tcPr>
          <w:p>
            <w:pPr/>
            <w:r>
              <w:rPr/>
              <w:t xml:space="preserve">Relación Laboral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Categoría</w:t>
            </w:r>
          </w:p>
        </w:tc>
        <w:tc>
          <w:tcPr>
            <w:tcW w:w="322550" w:type="pct"/>
          </w:tcPr>
          <w:p>
            <w:pPr/>
            <w:r>
              <w:rPr/>
              <w:t xml:space="preserve">Retribución anual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Alba Alberola Basset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5.171,42 €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Ángel Cristo González Domínguez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2.819,08 €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Carmelo Yeray Ortega Santana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2.297,40 €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Gabriel Gil Bordón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3.869,88 €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Iván Carlos Álamo Martín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4.248,13 €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Javier García Castellano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4.635,04 €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Javier Sosa Suárez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11.967,96 €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Jose Afonso García</w:t>
            </w:r>
          </w:p>
        </w:tc>
        <w:tc>
          <w:tcPr>
            <w:tcW w:w="194050" w:type="pct"/>
          </w:tcPr>
          <w:p>
            <w:pPr/>
            <w:r>
              <w:rPr/>
              <w:t xml:space="preserve">Indefinido Tiempo Parcial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 (Director de escuela)</w:t>
            </w:r>
          </w:p>
        </w:tc>
        <w:tc>
          <w:tcPr>
            <w:tcW w:w="322550" w:type="pct"/>
          </w:tcPr>
          <w:p>
            <w:pPr/>
            <w:r>
              <w:rPr/>
              <w:t xml:space="preserve">14.302,90 €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Jose Enrique Rodríguez Hernández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5.597,93 €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José Juan Bolaños Suárez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4.356,83 €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Leticia Gómez Goas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5.645,56 €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Luis Fernando Pérez Rivero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3.664,86 €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María del Pilar Pérez Robayna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2.332,18 €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Natalia Castellano Vega</w:t>
            </w:r>
          </w:p>
        </w:tc>
        <w:tc>
          <w:tcPr>
            <w:tcW w:w="194050" w:type="pct"/>
          </w:tcPr>
          <w:p>
            <w:pPr/>
            <w:r>
              <w:rPr/>
              <w:t xml:space="preserve">Indefinido Tiempo Parcial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10.554,05 €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Obed Jese García Martínez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4.000,13 €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Victor Manuel Batista Falcón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2.216,85 €</w:t>
            </w:r>
          </w:p>
        </w:tc>
      </w:tr>
    </w:tbl>
    <w:p>
      <w:pPr/>
      <w:r>
        <w:rPr/>
        <w:t xml:space="preserve"> </w:t>
      </w:r>
    </w:p>
    <w:tbl>
      <w:tblGrid>
        <w:gridCol w:w="99600" w:type="dxa"/>
        <w:gridCol w:w="226150" w:type="dxa"/>
        <w:gridCol w:w="174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61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742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2025 (Prórrogado 2024)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2024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2023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2026-10-20T16:01:18+00:00</dcterms:created>
  <dcterms:modified xsi:type="dcterms:W3CDTF">2026-10-20T16:01:18+00:00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